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86FD5" w14:textId="41F4B2AA" w:rsidR="00A97DEE" w:rsidRPr="00661CFC" w:rsidRDefault="00661CFC" w:rsidP="00661CFC">
      <w:pPr>
        <w:pStyle w:val="Title"/>
        <w:jc w:val="both"/>
        <w:rPr>
          <w:rFonts w:ascii="Helvetica Neue" w:hAnsi="Helvetica Neue"/>
          <w:b/>
          <w:bCs/>
          <w:color w:val="000000" w:themeColor="text1"/>
          <w:sz w:val="40"/>
          <w:szCs w:val="40"/>
        </w:rPr>
      </w:pPr>
      <w:r w:rsidRPr="00661CFC">
        <w:rPr>
          <w:rFonts w:ascii="Helvetica Neue" w:hAnsi="Helvetica Neue"/>
          <w:b/>
          <w:bCs/>
          <w:color w:val="000000" w:themeColor="text1"/>
          <w:sz w:val="40"/>
          <w:szCs w:val="40"/>
        </w:rPr>
        <w:t>Neurod</w:t>
      </w:r>
      <w:r w:rsidR="00000000" w:rsidRPr="00661CFC">
        <w:rPr>
          <w:rFonts w:ascii="Helvetica Neue" w:hAnsi="Helvetica Neue"/>
          <w:b/>
          <w:bCs/>
          <w:color w:val="000000" w:themeColor="text1"/>
          <w:sz w:val="40"/>
          <w:szCs w:val="40"/>
        </w:rPr>
        <w:t>evelopment and Adult Neurogenesis</w:t>
      </w:r>
    </w:p>
    <w:p w14:paraId="4927063C"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1. Early Embryonic Development and Neurulation</w:t>
      </w:r>
    </w:p>
    <w:p w14:paraId="51F70F9C" w14:textId="77777777" w:rsidR="00661CFC" w:rsidRPr="00661CFC" w:rsidRDefault="00661CFC" w:rsidP="00661CFC"/>
    <w:p w14:paraId="79270D0D"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The nervous system originates from the ectoderm, one of the three primary germ layers formed shortly after fertilization. The other two layers, the mesoderm and endoderm, give rise to muscle and connective tissue, and to internal organs, respectively.</w:t>
      </w:r>
    </w:p>
    <w:p w14:paraId="6A2CA315"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Around 18 days after conception in humans, a process called neurulation begins. During neurulation, a specialized portion of the ectoderm, the neuroectoderm, folds to form the neural tube. This tube is the foundation of the entire central nervous system (CNS).</w:t>
      </w:r>
    </w:p>
    <w:p w14:paraId="4D79441B"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The early neural tube looks deceptively simple, but it will give rise to the immense diversity of brain structures. This transformation is driven by spatial and temporal signals that guide cells into specific developmental pathways.</w:t>
      </w:r>
    </w:p>
    <w:p w14:paraId="403693BB"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2. Patterning and Establishment of Cellular Identity</w:t>
      </w:r>
    </w:p>
    <w:p w14:paraId="6F7E50F6" w14:textId="77777777" w:rsidR="00661CFC" w:rsidRPr="00661CFC" w:rsidRDefault="00661CFC" w:rsidP="00661CFC"/>
    <w:p w14:paraId="08CE3132"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Key to this transformation are morphogens — diffusible signaling molecules that provide positional information to cells. Depending on where a cell is located within the neural tube, it is exposed to different morphogens that activate distinct genetic programs.</w:t>
      </w:r>
    </w:p>
    <w:p w14:paraId="5F489B3E" w14:textId="77777777"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Bone morphogenetic proteins (BMPs) signal from the dorsal side.</w:t>
      </w:r>
    </w:p>
    <w:p w14:paraId="22CF8444" w14:textId="7F7876CE"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Sonic hedgehog (Shh) signals from the ventral side.</w:t>
      </w:r>
    </w:p>
    <w:p w14:paraId="694210D8" w14:textId="4B72C282"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Cerberus acts anteriorly, while Wnts, FGFs, and retinoic acid (RA) dominate posteriorly.</w:t>
      </w:r>
    </w:p>
    <w:p w14:paraId="268D2BD3"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These gradients turn on specific transcription factors that determine the fate of neural progenitor cells. For example, in the hindbrain, Hox genes subdivide the tissue into distinct regions called rhombomeres, each with its own identity. Hoxb1, expressed in rhombomere 4, specifies the development of facial motor neurons.</w:t>
      </w:r>
    </w:p>
    <w:p w14:paraId="10D71313" w14:textId="77777777" w:rsidR="00A97DEE" w:rsidRDefault="00000000" w:rsidP="00661CFC">
      <w:pPr>
        <w:jc w:val="both"/>
        <w:rPr>
          <w:rFonts w:ascii="Helvetica Neue" w:hAnsi="Helvetica Neue"/>
          <w:color w:val="000000" w:themeColor="text1"/>
        </w:rPr>
      </w:pPr>
      <w:r w:rsidRPr="00661CFC">
        <w:rPr>
          <w:rFonts w:ascii="Helvetica Neue" w:hAnsi="Helvetica Neue"/>
          <w:color w:val="000000" w:themeColor="text1"/>
        </w:rPr>
        <w:t>Cells also interact through mutual inhibition of transcription factors, sharpening the boundaries between different neuronal populations. This ensures that the spinal cord and brain develop clear domains, each destined to generate specific types of neurons.</w:t>
      </w:r>
    </w:p>
    <w:p w14:paraId="08427CB1" w14:textId="77777777" w:rsidR="00661CFC" w:rsidRPr="00661CFC" w:rsidRDefault="00661CFC" w:rsidP="00661CFC">
      <w:pPr>
        <w:jc w:val="both"/>
        <w:rPr>
          <w:rFonts w:ascii="Helvetica Neue" w:hAnsi="Helvetica Neue"/>
          <w:color w:val="000000" w:themeColor="text1"/>
        </w:rPr>
      </w:pPr>
    </w:p>
    <w:p w14:paraId="26037614"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lastRenderedPageBreak/>
        <w:t xml:space="preserve">3. Neural Stem Cells and </w:t>
      </w:r>
      <w:proofErr w:type="spellStart"/>
      <w:r w:rsidRPr="00661CFC">
        <w:rPr>
          <w:rFonts w:ascii="Helvetica Neue" w:hAnsi="Helvetica Neue"/>
          <w:color w:val="000000" w:themeColor="text1"/>
        </w:rPr>
        <w:t>Corticogenesis</w:t>
      </w:r>
      <w:proofErr w:type="spellEnd"/>
    </w:p>
    <w:p w14:paraId="5B458EA6" w14:textId="77777777" w:rsidR="00661CFC" w:rsidRPr="00661CFC" w:rsidRDefault="00661CFC" w:rsidP="00661CFC"/>
    <w:p w14:paraId="6DD59D40"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The neural tube is lined with neuroepithelial stem cells (NEs), which can give rise to all major cell types in the CNS: neurons, astrocytes, and oligodendrocytes. These cells undergo interkinetic nuclear migration, where the nucleus oscillates depending on the cell cycle stage.</w:t>
      </w:r>
    </w:p>
    <w:p w14:paraId="36FEA519"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At first, neural stem cells divide symmetrically, expanding the stem cell pool. Later, they switch to asymmetric divisions, generating one progenitor and one differentiated daughter cell.</w:t>
      </w:r>
    </w:p>
    <w:p w14:paraId="77058DBE" w14:textId="77777777"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This process is central to corticogenesis, the development of the cerebral cortex. Corticogenesis proceeds in three stages:</w:t>
      </w:r>
    </w:p>
    <w:p w14:paraId="057DDC8D" w14:textId="4882BC81" w:rsidR="00661CFC" w:rsidRPr="00661CFC" w:rsidRDefault="00000000" w:rsidP="00661CFC">
      <w:pPr>
        <w:pStyle w:val="ListParagraph"/>
        <w:numPr>
          <w:ilvl w:val="0"/>
          <w:numId w:val="10"/>
        </w:numPr>
        <w:jc w:val="both"/>
        <w:rPr>
          <w:rFonts w:ascii="Helvetica Neue" w:hAnsi="Helvetica Neue"/>
          <w:color w:val="000000" w:themeColor="text1"/>
        </w:rPr>
      </w:pPr>
      <w:r w:rsidRPr="00661CFC">
        <w:rPr>
          <w:rFonts w:ascii="Helvetica Neue" w:hAnsi="Helvetica Neue"/>
          <w:color w:val="000000" w:themeColor="text1"/>
        </w:rPr>
        <w:t>Expansion of progenitors within the neuroepithelium.</w:t>
      </w:r>
    </w:p>
    <w:p w14:paraId="301B0DD8" w14:textId="77777777" w:rsidR="00661CFC" w:rsidRPr="00661CFC" w:rsidRDefault="00000000" w:rsidP="00661CFC">
      <w:pPr>
        <w:pStyle w:val="ListParagraph"/>
        <w:numPr>
          <w:ilvl w:val="0"/>
          <w:numId w:val="10"/>
        </w:numPr>
        <w:jc w:val="both"/>
        <w:rPr>
          <w:rFonts w:ascii="Helvetica Neue" w:hAnsi="Helvetica Neue"/>
          <w:color w:val="000000" w:themeColor="text1"/>
        </w:rPr>
      </w:pPr>
      <w:r w:rsidRPr="00661CFC">
        <w:rPr>
          <w:rFonts w:ascii="Helvetica Neue" w:hAnsi="Helvetica Neue"/>
          <w:color w:val="000000" w:themeColor="text1"/>
        </w:rPr>
        <w:t>Emergence of radial glial cells, which serve as both progenitors and scaffolds.</w:t>
      </w:r>
    </w:p>
    <w:p w14:paraId="62108BDE" w14:textId="5ADB74C2" w:rsidR="00A97DEE" w:rsidRPr="00661CFC" w:rsidRDefault="00000000" w:rsidP="00661CFC">
      <w:pPr>
        <w:pStyle w:val="ListParagraph"/>
        <w:numPr>
          <w:ilvl w:val="0"/>
          <w:numId w:val="10"/>
        </w:numPr>
        <w:jc w:val="both"/>
        <w:rPr>
          <w:rFonts w:ascii="Helvetica Neue" w:hAnsi="Helvetica Neue"/>
          <w:color w:val="000000" w:themeColor="text1"/>
        </w:rPr>
      </w:pPr>
      <w:r w:rsidRPr="00661CFC">
        <w:rPr>
          <w:rFonts w:ascii="Helvetica Neue" w:hAnsi="Helvetica Neue"/>
          <w:color w:val="000000" w:themeColor="text1"/>
        </w:rPr>
        <w:t>Layer formation, where newborn neurons migrate along radial glia to their proper positions.</w:t>
      </w:r>
    </w:p>
    <w:p w14:paraId="2FD2B10C"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A remarkable feature of cortical development is that it proceeds inside-out. Early-born neurons form the deep layers, while later-born neurons migrate past them to occupy more superficial layers. Specialized neurons called Cajal–Retzius cells in the marginal zone secrete reelin, a protein that guides this migration.</w:t>
      </w:r>
    </w:p>
    <w:p w14:paraId="40DED454"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In humans, the cortex becomes exceptionally large. One reason is the presence of outer radial glial (oRG) cells in the outer subventricular zone. These basal progenitors are far more abundant in primates than in rodents, contributing to the expansion and folding (gyrification) of the human cortex. A human-specific gene, ARHGAP11B, has been shown experimentally to increase cortical folding when expressed in mouse embryos.</w:t>
      </w:r>
    </w:p>
    <w:p w14:paraId="3F84727B"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4. Neuronal Migration and Axonogenesis</w:t>
      </w:r>
    </w:p>
    <w:p w14:paraId="629C7E13" w14:textId="77777777" w:rsidR="00661CFC" w:rsidRPr="00661CFC" w:rsidRDefault="00661CFC" w:rsidP="00661CFC"/>
    <w:p w14:paraId="75F44D47" w14:textId="77777777"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Once neurons are generated, they must reach their target destinations. Two main modes of migration occur:</w:t>
      </w:r>
    </w:p>
    <w:p w14:paraId="39E174A7" w14:textId="38458A90"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Radial migration: projection neurons (usually excitatory, glutamatergic) move outward along radial glia, expanding the cortical plate.</w:t>
      </w:r>
    </w:p>
    <w:p w14:paraId="5728BBF6" w14:textId="6A576696"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Tangential migration: inhibitory interneurons (GABAergic) originate in the ganglionic eminences and migrate across the brain to integrate into cortical circuits.</w:t>
      </w:r>
    </w:p>
    <w:p w14:paraId="50BFC00E"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xml:space="preserve">After migration, neurons extend axons to connect with their targets. The growing tip of the axon, the growth cone, explores the environment with thin, finger-like projections </w:t>
      </w:r>
      <w:r w:rsidRPr="00661CFC">
        <w:rPr>
          <w:rFonts w:ascii="Helvetica Neue" w:hAnsi="Helvetica Neue"/>
          <w:color w:val="000000" w:themeColor="text1"/>
        </w:rPr>
        <w:lastRenderedPageBreak/>
        <w:t>called filopodia. Growth cones are guided by attractive cues (e.g., netrins) and repulsive cues (e.g., semaphorins).</w:t>
      </w:r>
    </w:p>
    <w:p w14:paraId="6737C44E"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Once an axon reaches its target, neurotrophic factors (such as NGF, BDNF, and NT-3/4) determine whether the connection is stabilized. Neurons that fail to receive sufficient trophic support undergo apoptosis, a controlled form of cell death. This mechanism ensures that neuronal populations match the size and requirements of their targets.</w:t>
      </w:r>
    </w:p>
    <w:p w14:paraId="6172E1C4"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5. Synapse Formation, Refinement, and Pruning</w:t>
      </w:r>
    </w:p>
    <w:p w14:paraId="2ECA9C32" w14:textId="77777777" w:rsidR="00661CFC" w:rsidRPr="00661CFC" w:rsidRDefault="00661CFC" w:rsidP="00661CFC"/>
    <w:p w14:paraId="0F4BF898"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In early development, connectivity is often exuberant. For example, a single muscle fiber may initially be innervated by several motoneurons. Over time, synapses are refined so that in adulthood, each muscle fiber receives input from only one motoneuron.</w:t>
      </w:r>
    </w:p>
    <w:p w14:paraId="708C9145"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This refinement is achieved through a combination of apoptosis and synaptic pruning. Microglia and astrocytes help eliminate weak or unused synapses, while active synapses are stabilized. This process is essential for fine-tuning brain circuits and is thought to contribute to cognitive development as well as neurodevelopmental disorders when disrupted.</w:t>
      </w:r>
    </w:p>
    <w:p w14:paraId="5BADEACB" w14:textId="77777777" w:rsidR="00A97DEE"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6. Adult Neurogenesis and Neurogenic Niches</w:t>
      </w:r>
    </w:p>
    <w:p w14:paraId="68E7A351" w14:textId="77777777" w:rsidR="00661CFC" w:rsidRPr="00661CFC" w:rsidRDefault="00661CFC" w:rsidP="00661CFC"/>
    <w:p w14:paraId="3A1548C9"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For much of the 20th century, neuroscientists believed that no new neurons were born in the adult mammalian brain. The Spanish neuroanatomist Santiago Ramón y Cajal famously described the adult brain as “immutable.”</w:t>
      </w:r>
    </w:p>
    <w:p w14:paraId="5D961518"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However, pioneering studies by Joseph Altman (1960s) and later Fernando Nottebohm (1980s) in songbirds showed that new neurons can indeed be generated in adulthood. This was later confirmed in mammals, including humans. Eriksson et al. (1998) found BrdU-labeled neurons in the dentate gyrus of patients who had received the tracer. Spalding et al. (2013) used radiocarbon dating to provide further evidence, although the extent of human adult neurogenesis remains debated.</w:t>
      </w:r>
    </w:p>
    <w:p w14:paraId="0421AB10" w14:textId="77777777" w:rsidR="00661CFC"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Two main neurogenic niches exist in the adult brain:</w:t>
      </w:r>
    </w:p>
    <w:p w14:paraId="59F6FA0C" w14:textId="77777777" w:rsid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 Subventricular zone (SVZ): lining the lateral ventricles. Neural stem cells (B cells) give rise to intermediate progenitors (C cells) and migrating neuroblasts (A cells). These migrate along the rostral migratory stream (RMS) to the olfactory bulb, where they become inhibitory interneurons.</w:t>
      </w:r>
    </w:p>
    <w:p w14:paraId="61B41DE5" w14:textId="5F765710"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lastRenderedPageBreak/>
        <w:t xml:space="preserve">- </w:t>
      </w:r>
      <w:proofErr w:type="spellStart"/>
      <w:r w:rsidRPr="00661CFC">
        <w:rPr>
          <w:rFonts w:ascii="Helvetica Neue" w:hAnsi="Helvetica Neue"/>
          <w:color w:val="000000" w:themeColor="text1"/>
        </w:rPr>
        <w:t>Subgranular</w:t>
      </w:r>
      <w:proofErr w:type="spellEnd"/>
      <w:r w:rsidRPr="00661CFC">
        <w:rPr>
          <w:rFonts w:ascii="Helvetica Neue" w:hAnsi="Helvetica Neue"/>
          <w:color w:val="000000" w:themeColor="text1"/>
        </w:rPr>
        <w:t xml:space="preserve"> zone (SGZ): in the hippocampal dentate gyrus. Here, adult neural stem cells generate neurons that integrate into hippocampal circuits involved in learning and memory.</w:t>
      </w:r>
    </w:p>
    <w:p w14:paraId="55EBD4C6"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Integration is slow and activity-dependent: newborn neurons take about four weeks to functionally incorporate into memory networks.</w:t>
      </w:r>
    </w:p>
    <w:p w14:paraId="534E9010" w14:textId="77777777" w:rsidR="00A97DEE" w:rsidRPr="00661CFC" w:rsidRDefault="00000000" w:rsidP="00661CFC">
      <w:pPr>
        <w:pStyle w:val="Heading1"/>
        <w:jc w:val="both"/>
        <w:rPr>
          <w:rFonts w:ascii="Helvetica Neue" w:hAnsi="Helvetica Neue"/>
          <w:color w:val="000000" w:themeColor="text1"/>
        </w:rPr>
      </w:pPr>
      <w:r w:rsidRPr="00661CFC">
        <w:rPr>
          <w:rFonts w:ascii="Helvetica Neue" w:hAnsi="Helvetica Neue"/>
          <w:color w:val="000000" w:themeColor="text1"/>
        </w:rPr>
        <w:t>7. Environmental Regulation of Adult Neurogenesis</w:t>
      </w:r>
    </w:p>
    <w:p w14:paraId="51B365DB" w14:textId="77777777" w:rsidR="00661CFC" w:rsidRPr="00661CFC" w:rsidRDefault="00661CFC" w:rsidP="00661CFC">
      <w:pPr>
        <w:rPr>
          <w:color w:val="000000" w:themeColor="text1"/>
        </w:rPr>
      </w:pPr>
    </w:p>
    <w:p w14:paraId="07F99161"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Adult neurogenesis is not fixed — it is highly sensitive to the environment. Enriched housing conditions, including social interaction and novel objects, increase hippocampal activity and neurogenesis (Kempermann et al., 1998).</w:t>
      </w:r>
    </w:p>
    <w:p w14:paraId="0C4AE85E"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Physical exercise, particularly running, has been shown to robustly increase the number of newborn neurons in the dentate gyrus (van Praag et al., 1999). These neurons are not only born but also functionally integrated, leading to improved hippocampus-dependent memory performance in tasks like the Morris water maze (van Praag et al., 2005).</w:t>
      </w:r>
    </w:p>
    <w:p w14:paraId="30C1257B" w14:textId="77777777" w:rsidR="00A97DEE" w:rsidRPr="00661CFC" w:rsidRDefault="00000000" w:rsidP="00661CFC">
      <w:pPr>
        <w:jc w:val="both"/>
        <w:rPr>
          <w:rFonts w:ascii="Helvetica Neue" w:hAnsi="Helvetica Neue"/>
          <w:color w:val="000000" w:themeColor="text1"/>
        </w:rPr>
      </w:pPr>
      <w:r w:rsidRPr="00661CFC">
        <w:rPr>
          <w:rFonts w:ascii="Helvetica Neue" w:hAnsi="Helvetica Neue"/>
          <w:color w:val="000000" w:themeColor="text1"/>
        </w:rPr>
        <w:t>This form of experience-dependent structural plasticity challenges the classical view of a static adult brain. As the neuroscientist Wolf Singer once put it, “Every man can, if he so desires, become the sculptor of his own brain.”</w:t>
      </w:r>
    </w:p>
    <w:sectPr w:rsidR="00A97DEE" w:rsidRPr="00661C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C663B9"/>
    <w:multiLevelType w:val="hybridMultilevel"/>
    <w:tmpl w:val="414A2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731851">
    <w:abstractNumId w:val="8"/>
  </w:num>
  <w:num w:numId="2" w16cid:durableId="364981967">
    <w:abstractNumId w:val="6"/>
  </w:num>
  <w:num w:numId="3" w16cid:durableId="398212036">
    <w:abstractNumId w:val="5"/>
  </w:num>
  <w:num w:numId="4" w16cid:durableId="373846282">
    <w:abstractNumId w:val="4"/>
  </w:num>
  <w:num w:numId="5" w16cid:durableId="843519370">
    <w:abstractNumId w:val="7"/>
  </w:num>
  <w:num w:numId="6" w16cid:durableId="668872341">
    <w:abstractNumId w:val="3"/>
  </w:num>
  <w:num w:numId="7" w16cid:durableId="416513170">
    <w:abstractNumId w:val="2"/>
  </w:num>
  <w:num w:numId="8" w16cid:durableId="952442289">
    <w:abstractNumId w:val="1"/>
  </w:num>
  <w:num w:numId="9" w16cid:durableId="92896333">
    <w:abstractNumId w:val="0"/>
  </w:num>
  <w:num w:numId="10" w16cid:durableId="465664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0AFA"/>
    <w:rsid w:val="00661CFC"/>
    <w:rsid w:val="00A97DEE"/>
    <w:rsid w:val="00AA1D8D"/>
    <w:rsid w:val="00B47730"/>
    <w:rsid w:val="00CB0664"/>
    <w:rsid w:val="00F424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8FC2D8"/>
  <w14:defaultImageDpi w14:val="300"/>
  <w15:docId w15:val="{55496E5A-7F44-5B4E-9564-9C867CE1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Johannes Gräff</cp:lastModifiedBy>
  <cp:revision>3</cp:revision>
  <dcterms:created xsi:type="dcterms:W3CDTF">2025-09-19T05:52:00Z</dcterms:created>
  <dcterms:modified xsi:type="dcterms:W3CDTF">2025-09-19T05:55:00Z</dcterms:modified>
  <cp:category/>
</cp:coreProperties>
</file>